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</w:rPr>
      </w:pPr>
      <w:r>
        <w:rPr>
          <w:rFonts w:hint="default"/>
          <w:b/>
          <w:bCs/>
          <w:sz w:val="32"/>
          <w:szCs w:val="32"/>
        </w:rPr>
        <w:t>中国体育彩票排列5游戏风险控制办法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中国体育彩票“排列5”游戏实行单期返奖总额控制，具体控制标准如下：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（一）销售额低于1000万元时（含1000万元），最高返奖总额为当期计提奖金+奖池资金+调节基金+当期销售额的150%；单期销售额在1000万元至2000万元（含2</w:t>
      </w:r>
      <w:bookmarkStart w:id="0" w:name="_GoBack"/>
      <w:bookmarkEnd w:id="0"/>
      <w:r>
        <w:rPr>
          <w:rFonts w:hint="default"/>
        </w:rPr>
        <w:t>000万元）时，最高返奖总额为当期计提奖金+奖池资金+调节基金+当期销售额的100%；单期销售额超过2000万元时，最高返奖总额为当期计提奖金+奖池资金+调节基金+当期销售额的50%。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（二）单期实际中奖总额若超过当期最高返奖总额时，按以下规则分配奖金：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/>
        </w:rPr>
        <w:t>（1）“排列5”游戏单注彩票奖金 =当期最高返奖总额/当期中奖注数；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default"/>
        </w:rPr>
        <w:t>（2）实际中奖金额以元为单位向下取整，取整后的余额计入调节基金（根据《彩票发行销售管理办法》第四十二条规定）。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F08D2"/>
    <w:rsid w:val="362525A8"/>
    <w:rsid w:val="76BE4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WWJ</cp:lastModifiedBy>
  <dcterms:modified xsi:type="dcterms:W3CDTF">2022-01-26T02:25:06Z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