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甘肃省体育彩票管理中心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欧洲杯、奥运会电梯轿厢固定画面广告</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评审方案</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280000元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二、服务期限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8周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三、广告形式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楼宇电梯轿厢固定画面广告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三、招标项目概述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投放楼宇位置：兰州市城四区（城关区、七里河区、安宁区、西固区）商用写字楼及居民住宅楼电梯（不含旧楼改造电梯）。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投放点位数量：500个（一个电梯轿厢为一个投放点位）。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shd w:val="clear" w:color="auto" w:fill="FFFFFF"/>
          <w:lang w:val="en-US" w:eastAsia="zh-CN"/>
        </w:rPr>
      </w:pPr>
      <w:r>
        <w:rPr>
          <w:rFonts w:hint="eastAsia" w:ascii="黑体" w:hAnsi="黑体" w:eastAsia="黑体" w:cs="黑体"/>
          <w:color w:val="000000"/>
          <w:sz w:val="32"/>
          <w:szCs w:val="32"/>
          <w:highlight w:val="none"/>
          <w:shd w:val="clear" w:color="auto" w:fill="FFFFFF"/>
          <w:lang w:val="en-US" w:eastAsia="zh-CN"/>
        </w:rPr>
        <w:t>四、资质要求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highlight w:val="none"/>
          <w:shd w:val="clear" w:color="auto" w:fill="FFFFFF"/>
          <w:lang w:val="en-US" w:eastAsia="zh-CN"/>
        </w:rPr>
      </w:pPr>
      <w:r>
        <w:rPr>
          <w:rFonts w:hint="eastAsia" w:ascii="仿宋" w:hAnsi="仿宋" w:eastAsia="仿宋" w:cs="仿宋"/>
          <w:b w:val="0"/>
          <w:bCs w:val="0"/>
          <w:color w:val="000000"/>
          <w:sz w:val="32"/>
          <w:szCs w:val="32"/>
          <w:highlight w:val="none"/>
          <w:shd w:val="clear" w:color="auto" w:fill="FFFFFF"/>
          <w:lang w:val="en-US" w:eastAsia="zh-CN"/>
        </w:rPr>
        <w:t>（一）供应商</w:t>
      </w:r>
      <w:r>
        <w:rPr>
          <w:rFonts w:hint="eastAsia" w:ascii="仿宋" w:hAnsi="仿宋" w:eastAsia="仿宋" w:cs="仿宋"/>
          <w:b w:val="0"/>
          <w:bCs w:val="0"/>
          <w:sz w:val="32"/>
          <w:szCs w:val="32"/>
          <w:highlight w:val="none"/>
        </w:rPr>
        <w:t>须符合《中华人民共和国政府采购法》第二十二条规定,并提供</w:t>
      </w:r>
      <w:r>
        <w:rPr>
          <w:rFonts w:hint="eastAsia" w:ascii="仿宋" w:hAnsi="仿宋" w:eastAsia="仿宋" w:cs="仿宋"/>
          <w:b w:val="0"/>
          <w:bCs w:val="0"/>
          <w:sz w:val="32"/>
          <w:szCs w:val="32"/>
          <w:highlight w:val="none"/>
          <w:lang w:val="en-US" w:eastAsia="zh-CN"/>
        </w:rPr>
        <w:t>以下材料：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highlight w:val="none"/>
          <w:shd w:val="clear" w:color="auto" w:fill="FFFFFF"/>
          <w:lang w:val="en-US" w:eastAsia="zh-CN"/>
        </w:rPr>
      </w:pP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color w:val="000000"/>
          <w:sz w:val="32"/>
          <w:szCs w:val="32"/>
          <w:highlight w:val="none"/>
          <w:shd w:val="clear" w:color="auto" w:fill="FFFFFF"/>
          <w:lang w:val="en-US" w:eastAsia="zh-CN"/>
        </w:rPr>
        <w:t>供应商应在国内正式注册登记，具备独立法人资格、具备广告经营发布资质的企业（须</w:t>
      </w:r>
      <w:r>
        <w:rPr>
          <w:rFonts w:hint="eastAsia" w:ascii="仿宋" w:hAnsi="仿宋" w:eastAsia="仿宋" w:cs="仿宋"/>
          <w:b w:val="0"/>
          <w:bCs w:val="0"/>
          <w:sz w:val="32"/>
          <w:szCs w:val="32"/>
          <w:highlight w:val="none"/>
        </w:rPr>
        <w:t>提供合格有效的</w:t>
      </w:r>
      <w:r>
        <w:rPr>
          <w:rFonts w:hint="eastAsia" w:ascii="仿宋" w:hAnsi="仿宋" w:eastAsia="仿宋" w:cs="仿宋"/>
          <w:b w:val="0"/>
          <w:bCs w:val="0"/>
          <w:sz w:val="32"/>
          <w:szCs w:val="32"/>
          <w:highlight w:val="none"/>
          <w:lang w:val="en-US" w:eastAsia="zh-CN"/>
        </w:rPr>
        <w:t>企业法人</w:t>
      </w:r>
      <w:r>
        <w:rPr>
          <w:rFonts w:hint="eastAsia" w:ascii="仿宋" w:hAnsi="仿宋" w:eastAsia="仿宋" w:cs="仿宋"/>
          <w:b w:val="0"/>
          <w:bCs w:val="0"/>
          <w:sz w:val="32"/>
          <w:szCs w:val="32"/>
          <w:highlight w:val="none"/>
        </w:rPr>
        <w:t>营业执照</w:t>
      </w:r>
      <w:r>
        <w:rPr>
          <w:rFonts w:hint="eastAsia" w:ascii="仿宋" w:hAnsi="仿宋" w:eastAsia="仿宋" w:cs="仿宋"/>
          <w:b w:val="0"/>
          <w:bCs w:val="0"/>
          <w:color w:val="000000"/>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snapToGrid w:val="0"/>
        <w:spacing w:before="120" w:beforeLines="50" w:after="120" w:afterLines="50" w:line="560" w:lineRule="exact"/>
        <w:ind w:firstLine="636" w:firstLineChars="199"/>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color w:val="000000"/>
          <w:sz w:val="32"/>
          <w:szCs w:val="32"/>
          <w:highlight w:val="none"/>
          <w:shd w:val="clear" w:color="auto" w:fill="FFFFFF"/>
          <w:lang w:val="en-US" w:eastAsia="zh-CN"/>
        </w:rPr>
        <w:t>供应商</w:t>
      </w:r>
      <w:r>
        <w:rPr>
          <w:rFonts w:hint="eastAsia" w:ascii="仿宋" w:hAnsi="仿宋" w:eastAsia="仿宋" w:cs="仿宋"/>
          <w:b w:val="0"/>
          <w:bCs w:val="0"/>
          <w:sz w:val="32"/>
          <w:szCs w:val="32"/>
          <w:highlight w:val="none"/>
        </w:rPr>
        <w:t>须</w:t>
      </w:r>
      <w:r>
        <w:rPr>
          <w:rFonts w:hint="eastAsia" w:ascii="仿宋" w:hAnsi="仿宋" w:eastAsia="仿宋" w:cs="仿宋"/>
          <w:b w:val="0"/>
          <w:bCs w:val="0"/>
          <w:color w:val="000000"/>
          <w:sz w:val="32"/>
          <w:szCs w:val="32"/>
          <w:highlight w:val="none"/>
          <w:shd w:val="clear" w:color="auto" w:fill="FFFFFF"/>
          <w:lang w:val="en-US" w:eastAsia="zh-CN"/>
        </w:rPr>
        <w:t>具有良好的商业信誉和财务状况，能够按时履行合同条款并承担相应责任（须提供</w:t>
      </w:r>
      <w:r>
        <w:rPr>
          <w:rFonts w:hint="eastAsia" w:ascii="仿宋" w:hAnsi="仿宋" w:eastAsia="仿宋" w:cs="仿宋"/>
          <w:b w:val="0"/>
          <w:bCs w:val="0"/>
          <w:sz w:val="32"/>
          <w:szCs w:val="32"/>
          <w:highlight w:val="none"/>
          <w:lang w:val="en-US" w:eastAsia="zh-CN"/>
        </w:rPr>
        <w:t>上一年度</w:t>
      </w:r>
      <w:r>
        <w:rPr>
          <w:rFonts w:hint="eastAsia" w:ascii="仿宋" w:hAnsi="仿宋" w:eastAsia="仿宋" w:cs="仿宋"/>
          <w:b w:val="0"/>
          <w:bCs w:val="0"/>
          <w:sz w:val="32"/>
          <w:szCs w:val="32"/>
          <w:highlight w:val="none"/>
        </w:rPr>
        <w:t>经会计师事务所或审计机构出具的年度审计报告或开户行出具的</w:t>
      </w:r>
      <w:r>
        <w:rPr>
          <w:rFonts w:hint="eastAsia" w:ascii="仿宋" w:hAnsi="仿宋" w:eastAsia="仿宋" w:cs="仿宋"/>
          <w:b w:val="0"/>
          <w:bCs w:val="0"/>
          <w:sz w:val="32"/>
          <w:szCs w:val="32"/>
          <w:highlight w:val="none"/>
          <w:lang w:val="en-US" w:eastAsia="zh-CN"/>
        </w:rPr>
        <w:t>银行</w:t>
      </w:r>
      <w:r>
        <w:rPr>
          <w:rFonts w:hint="eastAsia" w:ascii="仿宋" w:hAnsi="仿宋" w:eastAsia="仿宋" w:cs="仿宋"/>
          <w:b w:val="0"/>
          <w:bCs w:val="0"/>
          <w:sz w:val="32"/>
          <w:szCs w:val="32"/>
          <w:highlight w:val="none"/>
        </w:rPr>
        <w:t>资信证明</w:t>
      </w:r>
      <w:r>
        <w:rPr>
          <w:rFonts w:hint="eastAsia" w:ascii="仿宋" w:hAnsi="仿宋" w:eastAsia="仿宋" w:cs="仿宋"/>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FF"/>
          <w:sz w:val="32"/>
          <w:szCs w:val="32"/>
          <w:highlight w:val="none"/>
          <w:shd w:val="clear" w:color="auto" w:fill="FFFFFF"/>
          <w:lang w:val="en-US" w:eastAsia="zh-CN"/>
        </w:rPr>
      </w:pPr>
      <w:r>
        <w:rPr>
          <w:rFonts w:hint="eastAsia" w:ascii="仿宋" w:hAnsi="仿宋" w:eastAsia="仿宋" w:cs="仿宋"/>
          <w:b w:val="0"/>
          <w:bCs w:val="0"/>
          <w:color w:val="000000"/>
          <w:sz w:val="32"/>
          <w:szCs w:val="32"/>
          <w:highlight w:val="none"/>
          <w:shd w:val="clear" w:color="auto" w:fill="FFFFFF"/>
          <w:lang w:val="en-US" w:eastAsia="zh-CN"/>
        </w:rPr>
        <w:t>3、供应商</w:t>
      </w:r>
      <w:r>
        <w:rPr>
          <w:rFonts w:hint="eastAsia" w:ascii="仿宋" w:hAnsi="仿宋" w:eastAsia="仿宋" w:cs="仿宋"/>
          <w:b w:val="0"/>
          <w:bCs w:val="0"/>
          <w:sz w:val="32"/>
          <w:szCs w:val="32"/>
          <w:highlight w:val="none"/>
        </w:rPr>
        <w:t>须具有履行合同所必需的设备和专业技术能力(提供承诺函并加盖单位公章)</w:t>
      </w:r>
      <w:r>
        <w:rPr>
          <w:rFonts w:hint="eastAsia" w:ascii="仿宋" w:hAnsi="仿宋" w:eastAsia="仿宋" w:cs="仿宋"/>
          <w:b w:val="0"/>
          <w:bCs w:val="0"/>
          <w:sz w:val="32"/>
          <w:szCs w:val="32"/>
          <w:highlight w:val="none"/>
          <w:lang w:eastAsia="zh-CN"/>
        </w:rPr>
        <w:t>；</w:t>
      </w:r>
    </w:p>
    <w:p>
      <w:pPr>
        <w:keepNext w:val="0"/>
        <w:keepLines w:val="0"/>
        <w:pageBreakBefore w:val="0"/>
        <w:kinsoku/>
        <w:wordWrap/>
        <w:overflowPunct/>
        <w:topLinePunct w:val="0"/>
        <w:autoSpaceDE/>
        <w:autoSpaceDN/>
        <w:bidi w:val="0"/>
        <w:snapToGrid w:val="0"/>
        <w:spacing w:before="120" w:beforeLines="50" w:after="120" w:afterLines="50" w:line="56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color w:val="000000"/>
          <w:sz w:val="32"/>
          <w:szCs w:val="32"/>
          <w:highlight w:val="none"/>
          <w:shd w:val="clear" w:color="auto" w:fill="FFFFFF"/>
          <w:lang w:val="en-US" w:eastAsia="zh-CN"/>
        </w:rPr>
        <w:t>供应商</w:t>
      </w:r>
      <w:r>
        <w:rPr>
          <w:rFonts w:hint="eastAsia" w:ascii="仿宋" w:hAnsi="仿宋" w:eastAsia="仿宋" w:cs="仿宋"/>
          <w:b w:val="0"/>
          <w:bCs w:val="0"/>
          <w:sz w:val="32"/>
          <w:szCs w:val="32"/>
          <w:highlight w:val="none"/>
        </w:rPr>
        <w:t>须提供近半年任意1个月缴纳税收</w:t>
      </w:r>
      <w:r>
        <w:rPr>
          <w:rFonts w:hint="eastAsia" w:ascii="仿宋" w:hAnsi="仿宋" w:eastAsia="仿宋" w:cs="仿宋"/>
          <w:b w:val="0"/>
          <w:bCs w:val="0"/>
          <w:sz w:val="32"/>
          <w:szCs w:val="32"/>
          <w:highlight w:val="none"/>
          <w:lang w:val="en-US" w:eastAsia="zh-CN"/>
        </w:rPr>
        <w:t>及</w:t>
      </w:r>
      <w:r>
        <w:rPr>
          <w:rFonts w:hint="eastAsia" w:ascii="仿宋" w:hAnsi="仿宋" w:eastAsia="仿宋" w:cs="仿宋"/>
          <w:b w:val="0"/>
          <w:bCs w:val="0"/>
          <w:sz w:val="32"/>
          <w:szCs w:val="32"/>
          <w:highlight w:val="none"/>
        </w:rPr>
        <w:t>社会保障资金的有效票据凭证；</w:t>
      </w:r>
    </w:p>
    <w:p>
      <w:pPr>
        <w:keepNext w:val="0"/>
        <w:keepLines w:val="0"/>
        <w:pageBreakBefore w:val="0"/>
        <w:kinsoku/>
        <w:wordWrap/>
        <w:overflowPunct/>
        <w:topLinePunct w:val="0"/>
        <w:autoSpaceDE/>
        <w:autoSpaceDN/>
        <w:bidi w:val="0"/>
        <w:adjustRightInd w:val="0"/>
        <w:snapToGrid w:val="0"/>
        <w:spacing w:before="120" w:beforeLines="50" w:after="120" w:afterLines="50" w:line="560" w:lineRule="exact"/>
        <w:ind w:firstLine="640" w:firstLineChars="200"/>
        <w:jc w:val="left"/>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color w:val="000000"/>
          <w:sz w:val="32"/>
          <w:szCs w:val="32"/>
          <w:highlight w:val="none"/>
          <w:shd w:val="clear" w:color="auto" w:fill="FFFFFF"/>
          <w:lang w:val="en-US" w:eastAsia="zh-CN"/>
        </w:rPr>
        <w:t>供应商须</w:t>
      </w:r>
      <w:r>
        <w:rPr>
          <w:rFonts w:hint="eastAsia" w:ascii="仿宋" w:hAnsi="仿宋" w:eastAsia="仿宋" w:cs="仿宋"/>
          <w:b w:val="0"/>
          <w:bCs w:val="0"/>
          <w:sz w:val="32"/>
          <w:szCs w:val="32"/>
          <w:highlight w:val="none"/>
        </w:rPr>
        <w:t>提供参加政府采购活动近三年内（成立不足三年的从成立之日起算）在经营中没有重大违法记录的声明；</w:t>
      </w:r>
    </w:p>
    <w:p>
      <w:pPr>
        <w:keepNext w:val="0"/>
        <w:keepLines w:val="0"/>
        <w:pageBreakBefore w:val="0"/>
        <w:kinsoku/>
        <w:wordWrap/>
        <w:overflowPunct/>
        <w:topLinePunct w:val="0"/>
        <w:autoSpaceDE/>
        <w:autoSpaceDN/>
        <w:bidi w:val="0"/>
        <w:snapToGrid w:val="0"/>
        <w:spacing w:before="120" w:beforeLines="50" w:after="120" w:afterLines="50" w:line="56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color w:val="000000"/>
          <w:sz w:val="32"/>
          <w:szCs w:val="32"/>
          <w:highlight w:val="none"/>
          <w:shd w:val="clear" w:color="auto" w:fill="FFFFFF"/>
          <w:lang w:val="en-US" w:eastAsia="zh-CN"/>
        </w:rPr>
        <w:t>（二）供应商</w:t>
      </w:r>
      <w:r>
        <w:rPr>
          <w:rFonts w:hint="eastAsia" w:ascii="仿宋" w:hAnsi="仿宋" w:eastAsia="仿宋" w:cs="仿宋"/>
          <w:b w:val="0"/>
          <w:bCs w:val="0"/>
          <w:sz w:val="32"/>
          <w:szCs w:val="32"/>
          <w:highlight w:val="none"/>
        </w:rPr>
        <w:t>须提供完整清晰的“信用中国”网站查询后未显示为失信被执行人的截屏及信用报告；</w:t>
      </w:r>
    </w:p>
    <w:p>
      <w:pPr>
        <w:keepNext w:val="0"/>
        <w:keepLines w:val="0"/>
        <w:pageBreakBefore w:val="0"/>
        <w:kinsoku/>
        <w:wordWrap/>
        <w:overflowPunct/>
        <w:topLinePunct w:val="0"/>
        <w:autoSpaceDE/>
        <w:autoSpaceDN/>
        <w:bidi w:val="0"/>
        <w:snapToGrid w:val="0"/>
        <w:spacing w:before="120" w:beforeLines="50" w:after="120" w:afterLines="50" w:line="56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未被列入“信用中国”网站记录失信被执行人或重大税收违法案件当事人名单或政府采购严重违法失信行为记录名单；</w:t>
      </w:r>
    </w:p>
    <w:p>
      <w:pPr>
        <w:keepNext w:val="0"/>
        <w:keepLines w:val="0"/>
        <w:pageBreakBefore w:val="0"/>
        <w:kinsoku/>
        <w:wordWrap/>
        <w:overflowPunct/>
        <w:topLinePunct w:val="0"/>
        <w:autoSpaceDE/>
        <w:autoSpaceDN/>
        <w:bidi w:val="0"/>
        <w:snapToGrid w:val="0"/>
        <w:spacing w:before="120" w:beforeLines="50" w:after="120" w:afterLines="50" w:line="560" w:lineRule="exact"/>
        <w:ind w:firstLine="640" w:firstLineChars="200"/>
        <w:textAlignment w:val="auto"/>
        <w:rPr>
          <w:rFonts w:hint="eastAsia" w:ascii="仿宋" w:hAnsi="仿宋" w:eastAsia="仿宋" w:cs="仿宋"/>
          <w:b w:val="0"/>
          <w:bCs w:val="0"/>
          <w:color w:val="000000"/>
          <w:sz w:val="32"/>
          <w:szCs w:val="32"/>
          <w:highlight w:val="none"/>
          <w:shd w:val="clear" w:color="auto" w:fill="FFFFFF"/>
          <w:lang w:val="en-US" w:eastAsia="zh-CN"/>
        </w:rPr>
      </w:pPr>
      <w:r>
        <w:rPr>
          <w:rFonts w:hint="eastAsia" w:ascii="仿宋" w:hAnsi="仿宋" w:eastAsia="仿宋" w:cs="仿宋"/>
          <w:b w:val="0"/>
          <w:bCs w:val="0"/>
          <w:sz w:val="32"/>
          <w:szCs w:val="32"/>
          <w:highlight w:val="none"/>
        </w:rPr>
        <w:t>不处于</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中国政府采购网</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政府采购严重违法失信行为信息记录中的禁止参加政府采购活动期间的</w:t>
      </w:r>
      <w:r>
        <w:rPr>
          <w:rFonts w:hint="eastAsia" w:ascii="仿宋" w:hAnsi="仿宋" w:eastAsia="仿宋" w:cs="仿宋"/>
          <w:b w:val="0"/>
          <w:bCs w:val="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五、商务评分（35分）</w:t>
      </w:r>
    </w:p>
    <w:p>
      <w:pPr>
        <w:keepNext w:val="0"/>
        <w:keepLines w:val="0"/>
        <w:pageBreakBefore w:val="0"/>
        <w:numPr>
          <w:ilvl w:val="0"/>
          <w:numId w:val="1"/>
        </w:numPr>
        <w:kinsoku/>
        <w:wordWrap/>
        <w:overflowPunct/>
        <w:topLinePunct w:val="0"/>
        <w:autoSpaceDE/>
        <w:autoSpaceDN/>
        <w:bidi w:val="0"/>
        <w:snapToGrid w:val="0"/>
        <w:spacing w:before="120" w:beforeLines="50" w:after="120" w:afterLines="50"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同类项目业绩（10分）</w:t>
      </w:r>
    </w:p>
    <w:p>
      <w:pPr>
        <w:keepNext w:val="0"/>
        <w:keepLines w:val="0"/>
        <w:pageBreakBefore w:val="0"/>
        <w:numPr>
          <w:ilvl w:val="0"/>
          <w:numId w:val="0"/>
        </w:numPr>
        <w:kinsoku/>
        <w:wordWrap/>
        <w:overflowPunct/>
        <w:topLinePunct w:val="0"/>
        <w:autoSpaceDE/>
        <w:autoSpaceDN/>
        <w:bidi w:val="0"/>
        <w:snapToGrid w:val="0"/>
        <w:spacing w:before="120" w:beforeLines="50" w:after="120" w:afterLines="50"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具有本项目类似的从</w:t>
      </w:r>
      <w:r>
        <w:rPr>
          <w:rFonts w:hint="eastAsia" w:ascii="仿宋" w:hAnsi="仿宋" w:eastAsia="仿宋" w:cs="仿宋"/>
          <w:b w:val="0"/>
          <w:bCs w:val="0"/>
          <w:sz w:val="32"/>
          <w:szCs w:val="32"/>
          <w:highlight w:val="none"/>
          <w:lang w:val="en-US" w:eastAsia="zh-CN"/>
        </w:rPr>
        <w:t>事楼宇电梯广告业务的相关经验和能力（包括供专业的广告策划、设计、制作和投放服务等）；</w:t>
      </w:r>
    </w:p>
    <w:p>
      <w:pPr>
        <w:keepNext w:val="0"/>
        <w:keepLines w:val="0"/>
        <w:pageBreakBefore w:val="0"/>
        <w:numPr>
          <w:ilvl w:val="0"/>
          <w:numId w:val="0"/>
        </w:numPr>
        <w:kinsoku/>
        <w:wordWrap/>
        <w:overflowPunct/>
        <w:topLinePunct w:val="0"/>
        <w:autoSpaceDE/>
        <w:autoSpaceDN/>
        <w:bidi w:val="0"/>
        <w:snapToGrid w:val="0"/>
        <w:spacing w:before="120" w:beforeLines="50" w:after="120" w:afterLines="50"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供应商须提供近三年同类项目业绩证明（以中标通知书或合同为准），每提供一份得 2分，最多得5分。</w:t>
      </w:r>
    </w:p>
    <w:p>
      <w:pPr>
        <w:keepNext w:val="0"/>
        <w:keepLines w:val="0"/>
        <w:pageBreakBefore w:val="0"/>
        <w:numPr>
          <w:ilvl w:val="0"/>
          <w:numId w:val="1"/>
        </w:numPr>
        <w:kinsoku/>
        <w:wordWrap/>
        <w:overflowPunct/>
        <w:topLinePunct w:val="0"/>
        <w:autoSpaceDE/>
        <w:autoSpaceDN/>
        <w:bidi w:val="0"/>
        <w:snapToGrid w:val="0"/>
        <w:spacing w:before="120" w:beforeLines="50" w:after="120" w:afterLines="50"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项目经验（5分）</w:t>
      </w:r>
    </w:p>
    <w:p>
      <w:pPr>
        <w:keepNext w:val="0"/>
        <w:keepLines w:val="0"/>
        <w:pageBreakBefore w:val="0"/>
        <w:numPr>
          <w:ilvl w:val="0"/>
          <w:numId w:val="0"/>
        </w:numPr>
        <w:kinsoku/>
        <w:wordWrap/>
        <w:overflowPunct/>
        <w:topLinePunct w:val="0"/>
        <w:autoSpaceDE/>
        <w:autoSpaceDN/>
        <w:bidi w:val="0"/>
        <w:snapToGrid w:val="0"/>
        <w:spacing w:before="120" w:beforeLines="50" w:after="120" w:afterLines="50"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兰州市经营电梯轿厢固定画面广告业务3年以上；（应提供相关证明材料，不满足不得分）</w:t>
      </w:r>
    </w:p>
    <w:p>
      <w:pPr>
        <w:keepNext w:val="0"/>
        <w:keepLines w:val="0"/>
        <w:pageBreakBefore w:val="0"/>
        <w:kinsoku/>
        <w:wordWrap/>
        <w:overflowPunct/>
        <w:topLinePunct w:val="0"/>
        <w:autoSpaceDE/>
        <w:autoSpaceDN/>
        <w:bidi w:val="0"/>
        <w:snapToGrid w:val="0"/>
        <w:spacing w:before="120" w:beforeLines="50" w:after="120" w:afterLines="50"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（三）包含一次免费上刊画面，一次免费更换画面服务；（以承诺函为准，内容不全或不提供不得分。）（10分）</w:t>
      </w:r>
    </w:p>
    <w:p>
      <w:pPr>
        <w:keepNext w:val="0"/>
        <w:keepLines w:val="0"/>
        <w:pageBreakBefore w:val="0"/>
        <w:kinsoku/>
        <w:wordWrap/>
        <w:overflowPunct/>
        <w:topLinePunct w:val="0"/>
        <w:autoSpaceDE/>
        <w:autoSpaceDN/>
        <w:bidi w:val="0"/>
        <w:snapToGrid w:val="0"/>
        <w:spacing w:before="120" w:beforeLines="50" w:after="120" w:afterLines="50" w:line="560" w:lineRule="exact"/>
        <w:ind w:firstLine="640" w:firstLineChars="200"/>
        <w:textAlignment w:val="auto"/>
        <w:rPr>
          <w:rFonts w:hint="default" w:ascii="仿宋" w:hAnsi="仿宋" w:eastAsia="仿宋" w:cs="仿宋"/>
          <w:color w:val="000000"/>
          <w:sz w:val="32"/>
          <w:szCs w:val="32"/>
          <w:highlight w:val="none"/>
          <w:shd w:val="clear" w:color="auto" w:fill="FFFFFF"/>
          <w:lang w:val="en-US" w:eastAsia="zh-CN"/>
        </w:rPr>
      </w:pPr>
      <w:r>
        <w:rPr>
          <w:rFonts w:hint="eastAsia" w:ascii="仿宋" w:hAnsi="仿宋" w:eastAsia="仿宋" w:cs="仿宋"/>
          <w:b w:val="0"/>
          <w:bCs w:val="0"/>
          <w:sz w:val="32"/>
          <w:szCs w:val="32"/>
          <w:highlight w:val="none"/>
          <w:lang w:val="en-US" w:eastAsia="zh-CN"/>
        </w:rPr>
        <w:t>（四）能够实时响应省体彩中心对投放点位的抽查要求，提供准确及时的配合方案；（以实际提供的方案打分，内容不全则相应扣分。）（10分）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FF"/>
          <w:sz w:val="28"/>
          <w:szCs w:val="28"/>
          <w:highlight w:val="yellow"/>
          <w:shd w:val="clear" w:color="auto" w:fill="FFFFFF"/>
          <w:lang w:val="en-US" w:eastAsia="zh-CN"/>
        </w:rPr>
      </w:pPr>
      <w:r>
        <w:rPr>
          <w:rFonts w:hint="eastAsia" w:ascii="黑体" w:hAnsi="黑体" w:eastAsia="黑体" w:cs="黑体"/>
          <w:color w:val="000000"/>
          <w:sz w:val="32"/>
          <w:szCs w:val="32"/>
          <w:shd w:val="clear" w:color="auto" w:fill="FFFFFF"/>
          <w:lang w:val="en-US" w:eastAsia="zh-CN"/>
        </w:rPr>
        <w:t>六、评分标</w:t>
      </w:r>
      <w:r>
        <w:rPr>
          <w:rFonts w:hint="eastAsia" w:ascii="黑体" w:hAnsi="黑体" w:eastAsia="黑体" w:cs="黑体"/>
          <w:color w:val="auto"/>
          <w:sz w:val="32"/>
          <w:szCs w:val="32"/>
          <w:shd w:val="clear" w:color="auto" w:fill="FFFFFF"/>
          <w:lang w:val="en-US" w:eastAsia="zh-CN"/>
        </w:rPr>
        <w:t>准（55分）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val="en-US" w:eastAsia="zh-CN"/>
        </w:rPr>
        <w:t>供应商应提供针对本项目的服务方案：包含但不限于提供专业的广告策划、设计、制作、投放服务和楼宇点位等内容。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（一）楼宇点位方案中写字楼及商住楼投放比例。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（每占比2%得1分,最高20分）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（二）楼宇点位方案中属于下列地理范围描述的比例。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黄河以南，白银路以北，雁园路张苏滩路以西，敦煌路以东。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（每占比5%得1分，最高20分）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*投放楼宇位</w:t>
      </w:r>
      <w:r>
        <w:rPr>
          <w:rFonts w:hint="eastAsia" w:ascii="仿宋" w:hAnsi="仿宋" w:eastAsia="仿宋" w:cs="仿宋"/>
          <w:color w:val="auto"/>
          <w:sz w:val="32"/>
          <w:szCs w:val="32"/>
          <w:highlight w:val="none"/>
          <w:shd w:val="clear" w:color="auto" w:fill="FFFFFF"/>
          <w:lang w:val="en-US" w:eastAsia="zh-CN"/>
        </w:rPr>
        <w:t>置应分</w:t>
      </w:r>
      <w:r>
        <w:rPr>
          <w:rFonts w:hint="eastAsia" w:ascii="仿宋" w:hAnsi="仿宋" w:eastAsia="仿宋" w:cs="仿宋"/>
          <w:color w:val="000000"/>
          <w:sz w:val="32"/>
          <w:szCs w:val="32"/>
          <w:highlight w:val="none"/>
          <w:shd w:val="clear" w:color="auto" w:fill="FFFFFF"/>
          <w:lang w:val="en-US" w:eastAsia="zh-CN"/>
        </w:rPr>
        <w:t>布合理，不得出现过度集中于某个区域的情形；否则，此项不得分。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highlight w:val="none"/>
          <w:shd w:val="clear" w:color="auto" w:fill="FFFFFF"/>
          <w:lang w:val="en-US" w:eastAsia="zh-CN"/>
        </w:rPr>
      </w:pPr>
    </w:p>
    <w:p>
      <w:pPr>
        <w:keepNext w:val="0"/>
        <w:keepLines w:val="0"/>
        <w:pageBreakBefore w:val="0"/>
        <w:kinsoku/>
        <w:wordWrap/>
        <w:overflowPunct/>
        <w:topLinePunct w:val="0"/>
        <w:autoSpaceDE/>
        <w:autoSpaceDN/>
        <w:bidi w:val="0"/>
        <w:snapToGrid w:val="0"/>
        <w:spacing w:before="120" w:beforeLines="50" w:after="120" w:afterLines="50"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（三）除提供常规电梯广告发布之外，结合省体彩中心欧洲杯、奥运会宣传特点，能够策划并实施个性化的创新执行方案（以实际提供的方案打分，内容不全则相应扣分。）（15分）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七、价格得分（10分）</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价格分采用低价优先法计算，即满足文件要求且报价最低的供应商的价格为基准价，其价格分为满分。其他供应商的价格分统一按照下列公式计算：</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报价得分=（基准价/报价）×</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0</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（注：价格评分取值至小数点后第2位，2位以后四舍五入。）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黑体" w:hAnsi="黑体" w:eastAsia="黑体" w:cs="黑体"/>
          <w:color w:val="FF000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212839"/>
    <w:multiLevelType w:val="singleLevel"/>
    <w:tmpl w:val="782128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YjUxMzM3YjUyYzNmZDg5NDk4NTU2YmM3MTJkNGEifQ=="/>
  </w:docVars>
  <w:rsids>
    <w:rsidRoot w:val="1DB82955"/>
    <w:rsid w:val="00BE1B40"/>
    <w:rsid w:val="06AD4CEC"/>
    <w:rsid w:val="0ACD7E25"/>
    <w:rsid w:val="0B664CB3"/>
    <w:rsid w:val="10C132C6"/>
    <w:rsid w:val="18253965"/>
    <w:rsid w:val="1DB82955"/>
    <w:rsid w:val="23C21480"/>
    <w:rsid w:val="26A61FB0"/>
    <w:rsid w:val="2ABE5B1A"/>
    <w:rsid w:val="2D00117C"/>
    <w:rsid w:val="2F4F1F96"/>
    <w:rsid w:val="3F0D09C6"/>
    <w:rsid w:val="43CA5EC5"/>
    <w:rsid w:val="479F062A"/>
    <w:rsid w:val="48602D46"/>
    <w:rsid w:val="48F40FCD"/>
    <w:rsid w:val="4CCC6E0F"/>
    <w:rsid w:val="4D091B89"/>
    <w:rsid w:val="4E487C6D"/>
    <w:rsid w:val="5A1E1882"/>
    <w:rsid w:val="5B7C3C81"/>
    <w:rsid w:val="61F555BE"/>
    <w:rsid w:val="65940510"/>
    <w:rsid w:val="66463C18"/>
    <w:rsid w:val="6DA86F00"/>
    <w:rsid w:val="730D7B4F"/>
    <w:rsid w:val="7DC93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1282</Words>
  <Characters>1301</Characters>
  <Lines>0</Lines>
  <Paragraphs>0</Paragraphs>
  <TotalTime>14</TotalTime>
  <ScaleCrop>false</ScaleCrop>
  <LinksUpToDate>false</LinksUpToDate>
  <CharactersWithSpaces>1305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2024-04-02T06:49:00Z</dcterms:created>
  <dc:creator>钟浩波</dc:creator>
  <cp:lastModifiedBy>红光</cp:lastModifiedBy>
  <cp:lastPrinted>2024-06-07T08:07:00Z</cp:lastPrinted>
  <dcterms:modified xsi:type="dcterms:W3CDTF">2024-06-12T03:02:12Z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36577D4ACD2D417AB78BC5CCA813574E_13</vt:lpwstr>
  </property>
</Properties>
</file>